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D6EB" w14:textId="77777777" w:rsidR="008D1A63" w:rsidRPr="00392579" w:rsidRDefault="008D1A63" w:rsidP="008D1A63">
      <w:pPr>
        <w:widowControl/>
        <w:jc w:val="left"/>
        <w:rPr>
          <w:rFonts w:ascii="Verdana" w:hAnsi="Verdana"/>
          <w:b/>
          <w:szCs w:val="21"/>
        </w:rPr>
      </w:pPr>
      <w:r w:rsidRPr="00392579">
        <w:rPr>
          <w:rFonts w:ascii="Verdana" w:hAnsi="Verdana" w:hint="eastAsia"/>
          <w:b/>
          <w:szCs w:val="21"/>
        </w:rPr>
        <w:t>Course Inspection and Evaluation through</w:t>
      </w:r>
      <w:r w:rsidRPr="00392579">
        <w:rPr>
          <w:rFonts w:ascii="Verdana" w:hAnsi="Verdana"/>
          <w:b/>
          <w:szCs w:val="21"/>
        </w:rPr>
        <w:t xml:space="preserve"> </w:t>
      </w:r>
      <w:r w:rsidRPr="00392579">
        <w:rPr>
          <w:rFonts w:ascii="Verdana" w:hAnsi="Verdana" w:hint="eastAsia"/>
          <w:b/>
          <w:szCs w:val="21"/>
        </w:rPr>
        <w:t xml:space="preserve">Instruction </w:t>
      </w:r>
      <w:r w:rsidRPr="00392579">
        <w:rPr>
          <w:rFonts w:ascii="Verdana" w:hAnsi="Verdana"/>
          <w:b/>
          <w:szCs w:val="21"/>
        </w:rPr>
        <w:t xml:space="preserve">Supervisors </w:t>
      </w:r>
    </w:p>
    <w:p w14:paraId="6AABD833" w14:textId="77777777" w:rsidR="008D1A63" w:rsidRPr="00392579" w:rsidRDefault="008D1A63" w:rsidP="008D1A63">
      <w:pPr>
        <w:pStyle w:val="a4"/>
        <w:spacing w:line="360" w:lineRule="auto"/>
        <w:ind w:left="440" w:firstLineChars="500" w:firstLine="1054"/>
        <w:rPr>
          <w:rFonts w:ascii="Verdana" w:hAnsi="Verdana"/>
          <w:b/>
          <w:szCs w:val="21"/>
        </w:rPr>
      </w:pPr>
      <w:r w:rsidRPr="00392579">
        <w:rPr>
          <w:rFonts w:ascii="Verdana" w:hAnsi="Verdana" w:hint="eastAsia"/>
          <w:b/>
          <w:szCs w:val="21"/>
        </w:rPr>
        <w:t>(</w:t>
      </w:r>
      <w:proofErr w:type="gramStart"/>
      <w:r w:rsidRPr="00392579">
        <w:rPr>
          <w:rFonts w:ascii="Verdana" w:hAnsi="Verdana" w:hint="eastAsia"/>
          <w:b/>
          <w:szCs w:val="21"/>
        </w:rPr>
        <w:t>for</w:t>
      </w:r>
      <w:proofErr w:type="gramEnd"/>
      <w:r w:rsidRPr="00392579">
        <w:rPr>
          <w:rFonts w:ascii="Verdana" w:hAnsi="Verdana" w:hint="eastAsia"/>
          <w:b/>
          <w:szCs w:val="21"/>
        </w:rPr>
        <w:t xml:space="preserve"> i</w:t>
      </w:r>
      <w:r w:rsidRPr="00392579">
        <w:rPr>
          <w:rFonts w:ascii="Verdana" w:hAnsi="Verdana"/>
          <w:b/>
          <w:szCs w:val="21"/>
        </w:rPr>
        <w:t>nternational faculty only</w:t>
      </w:r>
      <w:r w:rsidRPr="00392579">
        <w:rPr>
          <w:rFonts w:ascii="Verdana" w:hAnsi="Verdana" w:hint="eastAsia"/>
          <w:b/>
          <w:szCs w:val="21"/>
        </w:rPr>
        <w:t>)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943"/>
        <w:gridCol w:w="622"/>
        <w:gridCol w:w="1082"/>
        <w:gridCol w:w="9"/>
        <w:gridCol w:w="1332"/>
        <w:gridCol w:w="903"/>
        <w:gridCol w:w="1209"/>
        <w:gridCol w:w="20"/>
        <w:gridCol w:w="1361"/>
        <w:gridCol w:w="41"/>
      </w:tblGrid>
      <w:tr w:rsidR="008D1A63" w14:paraId="12C501E5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5D920CC5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Lecturer</w:t>
            </w:r>
          </w:p>
        </w:tc>
        <w:tc>
          <w:tcPr>
            <w:tcW w:w="1704" w:type="dxa"/>
            <w:gridSpan w:val="2"/>
            <w:vAlign w:val="center"/>
          </w:tcPr>
          <w:p w14:paraId="4700BF27" w14:textId="77777777" w:rsidR="008D1A63" w:rsidRPr="00643DCB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2B20FFE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School</w:t>
            </w:r>
          </w:p>
        </w:tc>
        <w:tc>
          <w:tcPr>
            <w:tcW w:w="903" w:type="dxa"/>
            <w:vAlign w:val="center"/>
          </w:tcPr>
          <w:p w14:paraId="041C2811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4739CEC6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Course</w:t>
            </w:r>
          </w:p>
        </w:tc>
        <w:tc>
          <w:tcPr>
            <w:tcW w:w="1422" w:type="dxa"/>
            <w:gridSpan w:val="3"/>
            <w:vAlign w:val="center"/>
          </w:tcPr>
          <w:p w14:paraId="0FBE4E0D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3B13F0BF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2AE6785F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8144E3">
              <w:rPr>
                <w:rFonts w:eastAsia="黑体" w:hint="eastAsia"/>
                <w:b/>
                <w:bCs/>
                <w:sz w:val="17"/>
                <w:szCs w:val="18"/>
              </w:rPr>
              <w:t>Class and Grade</w:t>
            </w:r>
          </w:p>
        </w:tc>
        <w:tc>
          <w:tcPr>
            <w:tcW w:w="1713" w:type="dxa"/>
            <w:gridSpan w:val="3"/>
          </w:tcPr>
          <w:p w14:paraId="66A4A79B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32" w:type="dxa"/>
            <w:vAlign w:val="center"/>
          </w:tcPr>
          <w:p w14:paraId="55BED001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Classroom</w:t>
            </w:r>
          </w:p>
        </w:tc>
        <w:tc>
          <w:tcPr>
            <w:tcW w:w="903" w:type="dxa"/>
            <w:vAlign w:val="center"/>
          </w:tcPr>
          <w:p w14:paraId="143EA962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42F4C11C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Time</w:t>
            </w:r>
          </w:p>
        </w:tc>
        <w:tc>
          <w:tcPr>
            <w:tcW w:w="1422" w:type="dxa"/>
            <w:gridSpan w:val="3"/>
            <w:vAlign w:val="center"/>
          </w:tcPr>
          <w:p w14:paraId="42A124F7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4B729E3A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0707A123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Attend</w:t>
            </w:r>
            <w:r>
              <w:rPr>
                <w:rFonts w:eastAsia="黑体" w:hint="eastAsia"/>
                <w:b/>
                <w:bCs/>
              </w:rPr>
              <w:t>ee</w:t>
            </w:r>
          </w:p>
        </w:tc>
        <w:tc>
          <w:tcPr>
            <w:tcW w:w="1713" w:type="dxa"/>
            <w:gridSpan w:val="3"/>
          </w:tcPr>
          <w:p w14:paraId="4ABD75B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32" w:type="dxa"/>
            <w:vAlign w:val="center"/>
          </w:tcPr>
          <w:p w14:paraId="61599138" w14:textId="77777777" w:rsidR="008D1A63" w:rsidRPr="007002D8" w:rsidRDefault="008D1A63" w:rsidP="002A4220">
            <w:pPr>
              <w:snapToGrid w:val="0"/>
              <w:rPr>
                <w:rFonts w:eastAsia="黑体"/>
                <w:b/>
                <w:bCs/>
                <w:sz w:val="17"/>
                <w:szCs w:val="18"/>
              </w:rPr>
            </w:pPr>
            <w:r w:rsidRPr="007002D8">
              <w:rPr>
                <w:rFonts w:eastAsia="黑体" w:hint="eastAsia"/>
                <w:b/>
                <w:bCs/>
                <w:sz w:val="17"/>
                <w:szCs w:val="18"/>
              </w:rPr>
              <w:t>Course-takers</w:t>
            </w:r>
          </w:p>
        </w:tc>
        <w:tc>
          <w:tcPr>
            <w:tcW w:w="903" w:type="dxa"/>
            <w:vAlign w:val="center"/>
          </w:tcPr>
          <w:p w14:paraId="442503D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5B10F132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Evaluation venue</w:t>
            </w:r>
          </w:p>
        </w:tc>
        <w:tc>
          <w:tcPr>
            <w:tcW w:w="1422" w:type="dxa"/>
            <w:gridSpan w:val="3"/>
            <w:vAlign w:val="center"/>
          </w:tcPr>
          <w:p w14:paraId="3401FDCE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336CA878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072D0179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B57F32">
              <w:rPr>
                <w:rFonts w:eastAsia="黑体" w:hint="eastAsia"/>
                <w:b/>
                <w:bCs/>
              </w:rPr>
              <w:t>Content Briefing</w:t>
            </w:r>
          </w:p>
        </w:tc>
        <w:tc>
          <w:tcPr>
            <w:tcW w:w="6579" w:type="dxa"/>
            <w:gridSpan w:val="9"/>
          </w:tcPr>
          <w:p w14:paraId="649E2FBC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  <w:p w14:paraId="239A22A7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  <w:p w14:paraId="6B3034F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09772A" w14:paraId="5CC6405A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6A87DB08" w14:textId="77777777" w:rsidR="008D1A63" w:rsidRPr="0009772A" w:rsidRDefault="008D1A63" w:rsidP="002A4220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B170E5">
              <w:rPr>
                <w:rFonts w:eastAsia="黑体"/>
                <w:b/>
                <w:bCs/>
              </w:rPr>
              <w:t>Dimension</w:t>
            </w:r>
            <w:r w:rsidRPr="00B170E5">
              <w:rPr>
                <w:rFonts w:eastAsia="黑体" w:hint="eastAsia"/>
                <w:b/>
                <w:bCs/>
              </w:rPr>
              <w:t>s</w:t>
            </w:r>
          </w:p>
        </w:tc>
        <w:tc>
          <w:tcPr>
            <w:tcW w:w="4555" w:type="dxa"/>
            <w:gridSpan w:val="6"/>
            <w:vAlign w:val="center"/>
          </w:tcPr>
          <w:p w14:paraId="78EAC122" w14:textId="77777777" w:rsidR="008D1A63" w:rsidRPr="0009772A" w:rsidRDefault="008D1A63" w:rsidP="002A4220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B57F32">
              <w:rPr>
                <w:rFonts w:eastAsia="黑体" w:hint="eastAsia"/>
                <w:b/>
                <w:bCs/>
              </w:rPr>
              <w:t>Observation pints</w:t>
            </w:r>
          </w:p>
        </w:tc>
        <w:tc>
          <w:tcPr>
            <w:tcW w:w="1361" w:type="dxa"/>
            <w:vAlign w:val="center"/>
          </w:tcPr>
          <w:p w14:paraId="61001F86" w14:textId="77777777" w:rsidR="008D1A63" w:rsidRPr="00D44987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 w:hint="eastAsia"/>
              </w:rPr>
              <w:t>Scores</w:t>
            </w:r>
          </w:p>
        </w:tc>
      </w:tr>
      <w:tr w:rsidR="008D1A63" w:rsidRPr="00D44987" w14:paraId="2B8F8CD1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3C9FB36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Clear Learning Outcome</w:t>
            </w:r>
            <w:r>
              <w:rPr>
                <w:rFonts w:eastAsia="黑体" w:hint="eastAsia"/>
                <w:b/>
                <w:bCs/>
              </w:rPr>
              <w:t xml:space="preserve">s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55B185A6" w14:textId="77777777" w:rsid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 w:hint="eastAsia"/>
              </w:rPr>
              <w:t>C</w:t>
            </w:r>
            <w:r w:rsidRPr="00D44987">
              <w:rPr>
                <w:rFonts w:eastAsia="黑体"/>
              </w:rPr>
              <w:t>lear articulation of learning outcomes with the</w:t>
            </w:r>
          </w:p>
          <w:p w14:paraId="16612359" w14:textId="77777777" w:rsid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/>
              </w:rPr>
              <w:t>broader course objectives</w:t>
            </w:r>
            <w:r w:rsidRPr="00D44987">
              <w:rPr>
                <w:rFonts w:eastAsia="黑体" w:hint="eastAsia"/>
              </w:rPr>
              <w:t xml:space="preserve">, </w:t>
            </w:r>
            <w:r w:rsidRPr="00D44987">
              <w:rPr>
                <w:rFonts w:eastAsia="黑体"/>
              </w:rPr>
              <w:t xml:space="preserve">ensuring they </w:t>
            </w:r>
          </w:p>
          <w:p w14:paraId="2795D258" w14:textId="77777777" w:rsidR="008D1A63" w:rsidRPr="00D44987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/>
              </w:rPr>
              <w:t>understand what is expected of them</w:t>
            </w:r>
          </w:p>
        </w:tc>
        <w:tc>
          <w:tcPr>
            <w:tcW w:w="1361" w:type="dxa"/>
            <w:vAlign w:val="center"/>
          </w:tcPr>
          <w:p w14:paraId="39B3389C" w14:textId="77777777" w:rsidR="008D1A63" w:rsidRPr="00D44987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</w:p>
        </w:tc>
      </w:tr>
      <w:tr w:rsidR="008D1A63" w:rsidRPr="00D44987" w14:paraId="569DB09A" w14:textId="77777777" w:rsidTr="002A4220">
        <w:trPr>
          <w:gridAfter w:val="1"/>
          <w:wAfter w:w="41" w:type="dxa"/>
          <w:trHeight w:val="1066"/>
        </w:trPr>
        <w:tc>
          <w:tcPr>
            <w:tcW w:w="2565" w:type="dxa"/>
            <w:gridSpan w:val="2"/>
            <w:vAlign w:val="center"/>
          </w:tcPr>
          <w:p w14:paraId="3D1A0717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Structured and Organized Sessions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2A8EDD0A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L</w:t>
            </w:r>
            <w:r w:rsidRPr="008D1A63">
              <w:rPr>
                <w:rFonts w:eastAsia="黑体"/>
              </w:rPr>
              <w:t>ogical sequence of activities</w:t>
            </w:r>
            <w:r w:rsidRPr="008D1A63">
              <w:rPr>
                <w:rFonts w:eastAsia="黑体" w:hint="eastAsia"/>
              </w:rPr>
              <w:t xml:space="preserve"> with</w:t>
            </w:r>
            <w:r w:rsidRPr="008D1A63">
              <w:rPr>
                <w:rFonts w:eastAsia="黑体"/>
              </w:rPr>
              <w:t xml:space="preserve"> a coherent learning</w:t>
            </w:r>
            <w:r w:rsidRPr="008D1A63">
              <w:rPr>
                <w:rFonts w:eastAsia="黑体" w:hint="eastAsia"/>
              </w:rPr>
              <w:t xml:space="preserve">-teaching </w:t>
            </w:r>
            <w:r w:rsidRPr="008D1A63">
              <w:rPr>
                <w:rFonts w:eastAsia="黑体"/>
              </w:rPr>
              <w:t>towards the defined outcomes</w:t>
            </w:r>
          </w:p>
        </w:tc>
        <w:tc>
          <w:tcPr>
            <w:tcW w:w="1361" w:type="dxa"/>
            <w:vAlign w:val="center"/>
          </w:tcPr>
          <w:p w14:paraId="45C2A0C0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FE23C8A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7A8CEF64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Curriculum Alignment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0BC8BB4E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/>
              </w:rPr>
              <w:t>Content directly relevant to the course syllabus</w:t>
            </w:r>
          </w:p>
          <w:p w14:paraId="2EC64913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 xml:space="preserve">with </w:t>
            </w:r>
            <w:r w:rsidRPr="008D1A63">
              <w:rPr>
                <w:rFonts w:eastAsia="黑体"/>
              </w:rPr>
              <w:t>appropriately challeng</w:t>
            </w:r>
            <w:r w:rsidRPr="008D1A63">
              <w:rPr>
                <w:rFonts w:eastAsia="黑体" w:hint="eastAsia"/>
              </w:rPr>
              <w:t>e</w:t>
            </w:r>
            <w:r w:rsidRPr="008D1A63">
              <w:rPr>
                <w:rFonts w:eastAsia="黑体"/>
              </w:rPr>
              <w:t xml:space="preserve"> and tailored </w:t>
            </w:r>
            <w:proofErr w:type="gramStart"/>
            <w:r w:rsidRPr="008D1A63">
              <w:rPr>
                <w:rFonts w:eastAsia="黑体"/>
              </w:rPr>
              <w:t>to</w:t>
            </w:r>
            <w:proofErr w:type="gramEnd"/>
            <w:r w:rsidRPr="008D1A63">
              <w:rPr>
                <w:rFonts w:eastAsia="黑体"/>
              </w:rPr>
              <w:t xml:space="preserve"> the</w:t>
            </w:r>
          </w:p>
          <w:p w14:paraId="07EE180D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/>
              </w:rPr>
              <w:t>level of the students, thei</w:t>
            </w:r>
            <w:r w:rsidRPr="008D1A63">
              <w:rPr>
                <w:rFonts w:eastAsia="黑体" w:hint="eastAsia"/>
              </w:rPr>
              <w:t xml:space="preserve">r </w:t>
            </w:r>
            <w:r w:rsidRPr="008D1A63">
              <w:rPr>
                <w:rFonts w:eastAsia="黑体"/>
              </w:rPr>
              <w:t>prior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knowledge</w:t>
            </w:r>
          </w:p>
          <w:p w14:paraId="541D5C66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 xml:space="preserve">and linked </w:t>
            </w:r>
            <w:r w:rsidRPr="008D1A63">
              <w:rPr>
                <w:rFonts w:eastAsia="黑体"/>
              </w:rPr>
              <w:t>to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real-world or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disciplinary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contexts</w:t>
            </w:r>
          </w:p>
        </w:tc>
        <w:tc>
          <w:tcPr>
            <w:tcW w:w="1361" w:type="dxa"/>
            <w:vAlign w:val="center"/>
          </w:tcPr>
          <w:p w14:paraId="056E9F4F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49C7A785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53965BB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Varied Pedagogical Approaches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26008A7B" w14:textId="77777777" w:rsidR="008D1A63" w:rsidRPr="008D1A63" w:rsidRDefault="008D1A63" w:rsidP="002A4220">
            <w:pPr>
              <w:snapToGrid w:val="0"/>
              <w:rPr>
                <w:rFonts w:eastAsia="黑体"/>
              </w:rPr>
            </w:pPr>
            <w:r w:rsidRPr="008D1A63">
              <w:rPr>
                <w:rFonts w:eastAsia="黑体"/>
              </w:rPr>
              <w:t>a variety of teaching methods to address different learning styles</w:t>
            </w:r>
          </w:p>
        </w:tc>
        <w:tc>
          <w:tcPr>
            <w:tcW w:w="1361" w:type="dxa"/>
            <w:vAlign w:val="center"/>
          </w:tcPr>
          <w:p w14:paraId="7DCD5876" w14:textId="77777777" w:rsidR="008D1A63" w:rsidRPr="000B328C" w:rsidRDefault="008D1A63" w:rsidP="002A4220">
            <w:pPr>
              <w:snapToGrid w:val="0"/>
              <w:rPr>
                <w:rFonts w:eastAsia="黑体"/>
                <w:color w:val="FF0000"/>
              </w:rPr>
            </w:pPr>
          </w:p>
        </w:tc>
      </w:tr>
      <w:tr w:rsidR="008D1A63" w:rsidRPr="00D44987" w14:paraId="76DD4ECF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0B726E83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Critical Thinking and Engagement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40065F3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C</w:t>
            </w:r>
            <w:r w:rsidRPr="008D1A63">
              <w:rPr>
                <w:rFonts w:eastAsia="黑体"/>
              </w:rPr>
              <w:t>ritical thinking and active engagement through questioning techniques, discussions, and tasks that require students to apply, analyze, and evaluate information</w:t>
            </w:r>
          </w:p>
        </w:tc>
        <w:tc>
          <w:tcPr>
            <w:tcW w:w="1361" w:type="dxa"/>
            <w:vAlign w:val="center"/>
          </w:tcPr>
          <w:p w14:paraId="4F7FDA0F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58578058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325417A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Clarity and Engagement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674DBCE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C</w:t>
            </w:r>
            <w:r w:rsidRPr="008D1A63">
              <w:rPr>
                <w:rFonts w:eastAsia="黑体"/>
              </w:rPr>
              <w:t xml:space="preserve">onvey complex ideas in an accessible manner appropriate </w:t>
            </w:r>
            <w:r w:rsidRPr="008D1A63">
              <w:rPr>
                <w:rFonts w:eastAsia="黑体" w:hint="eastAsia"/>
              </w:rPr>
              <w:t>with the</w:t>
            </w:r>
            <w:r w:rsidRPr="008D1A63">
              <w:rPr>
                <w:rFonts w:eastAsia="黑体"/>
              </w:rPr>
              <w:t xml:space="preserve"> pace of delivery, ensuring all students can follow along while maintaining </w:t>
            </w:r>
            <w:r w:rsidRPr="008D1A63">
              <w:rPr>
                <w:rFonts w:eastAsia="黑体" w:hint="eastAsia"/>
              </w:rPr>
              <w:t>suitability</w:t>
            </w:r>
            <w:r w:rsidRPr="008D1A63">
              <w:rPr>
                <w:rFonts w:eastAsia="黑体"/>
              </w:rPr>
              <w:t>.</w:t>
            </w:r>
          </w:p>
        </w:tc>
        <w:tc>
          <w:tcPr>
            <w:tcW w:w="1361" w:type="dxa"/>
            <w:vAlign w:val="center"/>
          </w:tcPr>
          <w:p w14:paraId="2C551D73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D9A7E9D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FE3995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Responsive and Adaptive Teaching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497DA11A" w14:textId="77777777" w:rsidR="008D1A63" w:rsidRPr="008D1A63" w:rsidRDefault="008D1A63" w:rsidP="002A4220">
            <w:pPr>
              <w:snapToGrid w:val="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R</w:t>
            </w:r>
            <w:r w:rsidRPr="008D1A63">
              <w:rPr>
                <w:rFonts w:eastAsia="黑体"/>
              </w:rPr>
              <w:t>esponsive to the dynamics of the classroom, adapting the lesson plan as necessary to address students’ needs and interests</w:t>
            </w:r>
          </w:p>
        </w:tc>
        <w:tc>
          <w:tcPr>
            <w:tcW w:w="1361" w:type="dxa"/>
            <w:vAlign w:val="center"/>
          </w:tcPr>
          <w:p w14:paraId="739A32C4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30E0E990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AF83F27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Inclusive and Participatory Learning Environment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109B873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E</w:t>
            </w:r>
            <w:r w:rsidRPr="008D1A63">
              <w:rPr>
                <w:rFonts w:eastAsia="黑体"/>
              </w:rPr>
              <w:t>ncourage participation from all students</w:t>
            </w:r>
            <w:r w:rsidRPr="008D1A63">
              <w:rPr>
                <w:rFonts w:eastAsia="黑体" w:hint="eastAsia"/>
              </w:rPr>
              <w:t xml:space="preserve">, </w:t>
            </w:r>
            <w:r w:rsidRPr="008D1A63">
              <w:rPr>
                <w:rFonts w:eastAsia="黑体"/>
              </w:rPr>
              <w:t>fostering a culture of respect and inclusivity, where diverse perspectives are valued.</w:t>
            </w:r>
          </w:p>
        </w:tc>
        <w:tc>
          <w:tcPr>
            <w:tcW w:w="1361" w:type="dxa"/>
            <w:vAlign w:val="center"/>
          </w:tcPr>
          <w:p w14:paraId="399F5732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196ABAB9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3F6D0F55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Active Learning Opportunities</w:t>
            </w:r>
            <w:r>
              <w:rPr>
                <w:rFonts w:eastAsia="黑体" w:hint="eastAsia"/>
                <w:b/>
                <w:bCs/>
              </w:rPr>
              <w:t xml:space="preserve">; </w:t>
            </w:r>
            <w:r w:rsidRPr="00D44987">
              <w:rPr>
                <w:rFonts w:eastAsia="黑体"/>
                <w:b/>
                <w:bCs/>
              </w:rPr>
              <w:t>Ethical and Inclusive Practices</w:t>
            </w:r>
            <w:r>
              <w:rPr>
                <w:rFonts w:eastAsia="黑体" w:hint="eastAsia"/>
                <w:b/>
                <w:bCs/>
              </w:rPr>
              <w:t xml:space="preserve"> and language-acceptability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55F1F76F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P</w:t>
            </w:r>
            <w:r w:rsidRPr="008D1A63">
              <w:rPr>
                <w:rFonts w:eastAsia="黑体"/>
              </w:rPr>
              <w:t>rovide students with opportunities to participate</w:t>
            </w:r>
            <w:r w:rsidRPr="008D1A63">
              <w:rPr>
                <w:rFonts w:eastAsia="黑体" w:hint="eastAsia"/>
              </w:rPr>
              <w:t xml:space="preserve"> in</w:t>
            </w:r>
            <w:r w:rsidRPr="008D1A63">
              <w:rPr>
                <w:rFonts w:eastAsia="黑体"/>
              </w:rPr>
              <w:t xml:space="preserve"> group work, discussions, </w:t>
            </w:r>
            <w:r w:rsidRPr="008D1A63">
              <w:rPr>
                <w:rFonts w:eastAsia="黑体" w:hint="eastAsia"/>
              </w:rPr>
              <w:t>interactions</w:t>
            </w:r>
            <w:r w:rsidRPr="008D1A63">
              <w:rPr>
                <w:rFonts w:eastAsia="黑体" w:hint="eastAsia"/>
              </w:rPr>
              <w:t>，</w:t>
            </w:r>
            <w:r w:rsidRPr="008D1A63">
              <w:rPr>
                <w:rFonts w:eastAsia="黑体"/>
              </w:rPr>
              <w:t xml:space="preserve">or </w:t>
            </w:r>
            <w:r w:rsidRPr="008D1A63">
              <w:rPr>
                <w:rFonts w:eastAsia="黑体" w:hint="eastAsia"/>
              </w:rPr>
              <w:t>pre</w:t>
            </w:r>
            <w:r w:rsidRPr="008D1A63">
              <w:rPr>
                <w:rFonts w:eastAsia="黑体"/>
              </w:rPr>
              <w:t xml:space="preserve"> activities, rather than being passive recipients of information.</w:t>
            </w:r>
          </w:p>
          <w:p w14:paraId="3EAE4912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A</w:t>
            </w:r>
            <w:r w:rsidRPr="008D1A63">
              <w:rPr>
                <w:rFonts w:eastAsia="黑体"/>
              </w:rPr>
              <w:t>dheres to professional standards, including respect for individual’</w:t>
            </w:r>
            <w:r w:rsidRPr="008D1A63">
              <w:rPr>
                <w:rFonts w:eastAsia="黑体" w:hint="eastAsia"/>
              </w:rPr>
              <w:t xml:space="preserve">s national and cultural values, and </w:t>
            </w:r>
            <w:r w:rsidRPr="008D1A63">
              <w:rPr>
                <w:rFonts w:eastAsia="黑体"/>
              </w:rPr>
              <w:t xml:space="preserve">be aware of the wider institutional and societal contexts </w:t>
            </w:r>
          </w:p>
        </w:tc>
        <w:tc>
          <w:tcPr>
            <w:tcW w:w="1361" w:type="dxa"/>
            <w:vAlign w:val="center"/>
          </w:tcPr>
          <w:p w14:paraId="3F361905" w14:textId="77777777" w:rsidR="008D1A63" w:rsidRPr="003451F2" w:rsidRDefault="008D1A63" w:rsidP="002A4220">
            <w:pPr>
              <w:snapToGrid w:val="0"/>
              <w:rPr>
                <w:rFonts w:eastAsia="黑体"/>
                <w:color w:val="FF0000"/>
              </w:rPr>
            </w:pPr>
          </w:p>
        </w:tc>
      </w:tr>
      <w:tr w:rsidR="008D1A63" w:rsidRPr="00D44987" w14:paraId="60D9F056" w14:textId="77777777" w:rsidTr="002A4220">
        <w:trPr>
          <w:gridAfter w:val="1"/>
          <w:wAfter w:w="41" w:type="dxa"/>
          <w:trHeight w:val="207"/>
        </w:trPr>
        <w:tc>
          <w:tcPr>
            <w:tcW w:w="2565" w:type="dxa"/>
            <w:gridSpan w:val="2"/>
            <w:vAlign w:val="center"/>
          </w:tcPr>
          <w:p w14:paraId="2E89FFE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Effective Use of Learning Resources</w:t>
            </w:r>
            <w:r>
              <w:rPr>
                <w:rFonts w:eastAsia="黑体" w:hint="eastAsia"/>
                <w:b/>
                <w:bCs/>
              </w:rPr>
              <w:t xml:space="preserve"> and </w:t>
            </w:r>
            <w:r w:rsidRPr="00D44987">
              <w:rPr>
                <w:rFonts w:eastAsia="黑体"/>
                <w:b/>
                <w:bCs/>
              </w:rPr>
              <w:t>Adaptation of Material</w:t>
            </w:r>
            <w:r>
              <w:rPr>
                <w:rFonts w:eastAsia="黑体" w:hint="eastAsia"/>
                <w:b/>
                <w:bCs/>
              </w:rPr>
              <w:t>s (10%)</w:t>
            </w:r>
          </w:p>
        </w:tc>
        <w:tc>
          <w:tcPr>
            <w:tcW w:w="4555" w:type="dxa"/>
            <w:gridSpan w:val="6"/>
            <w:vAlign w:val="center"/>
          </w:tcPr>
          <w:p w14:paraId="7F2A4F2C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  <w:r>
              <w:rPr>
                <w:rFonts w:eastAsia="黑体" w:hint="eastAsia"/>
              </w:rPr>
              <w:t>M</w:t>
            </w:r>
            <w:r w:rsidRPr="00D44987">
              <w:rPr>
                <w:rFonts w:eastAsia="黑体"/>
              </w:rPr>
              <w:t>ake effective use of available resources, such as visual aids, technology, and the physical classroom environment, to enhance learning</w:t>
            </w:r>
            <w:r>
              <w:rPr>
                <w:rFonts w:eastAsia="黑体" w:hint="eastAsia"/>
              </w:rPr>
              <w:t xml:space="preserve"> m</w:t>
            </w:r>
            <w:r w:rsidRPr="00D44987">
              <w:rPr>
                <w:rFonts w:eastAsia="黑体"/>
              </w:rPr>
              <w:t>aterials and resources adapted to meet the specific needs, ensuring they are accessible and relevant to the students’ learning goals</w:t>
            </w:r>
          </w:p>
        </w:tc>
        <w:tc>
          <w:tcPr>
            <w:tcW w:w="1361" w:type="dxa"/>
            <w:vAlign w:val="center"/>
          </w:tcPr>
          <w:p w14:paraId="152C5588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F2A1AA2" w14:textId="77777777" w:rsidTr="002A4220">
        <w:trPr>
          <w:gridAfter w:val="1"/>
          <w:wAfter w:w="41" w:type="dxa"/>
          <w:trHeight w:val="2032"/>
        </w:trPr>
        <w:tc>
          <w:tcPr>
            <w:tcW w:w="8481" w:type="dxa"/>
            <w:gridSpan w:val="9"/>
            <w:vAlign w:val="center"/>
          </w:tcPr>
          <w:p w14:paraId="23E5FA58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 w:hint="eastAsia"/>
                <w:b/>
                <w:bCs/>
              </w:rPr>
              <w:lastRenderedPageBreak/>
              <w:t xml:space="preserve">Overall </w:t>
            </w:r>
            <w:r w:rsidRPr="00D44987">
              <w:rPr>
                <w:rFonts w:eastAsia="黑体"/>
                <w:b/>
                <w:bCs/>
              </w:rPr>
              <w:t>comments</w:t>
            </w:r>
            <w:r w:rsidRPr="00D44987">
              <w:rPr>
                <w:rFonts w:eastAsia="黑体" w:hint="eastAsia"/>
                <w:b/>
                <w:bCs/>
              </w:rPr>
              <w:t xml:space="preserve"> and suggestions</w:t>
            </w:r>
          </w:p>
          <w:p w14:paraId="48C1D969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</w:p>
          <w:p w14:paraId="4FBE6A02" w14:textId="77777777" w:rsidR="008D1A63" w:rsidRDefault="008D1A63" w:rsidP="002A4220">
            <w:pPr>
              <w:rPr>
                <w:rFonts w:eastAsia="黑体"/>
                <w:b/>
                <w:bCs/>
              </w:rPr>
            </w:pPr>
          </w:p>
          <w:p w14:paraId="56F5B8E6" w14:textId="77777777" w:rsidR="008D1A63" w:rsidRPr="00302802" w:rsidRDefault="008D1A63" w:rsidP="002A4220">
            <w:pPr>
              <w:rPr>
                <w:rFonts w:eastAsia="黑体"/>
                <w:b/>
                <w:bCs/>
              </w:rPr>
            </w:pPr>
          </w:p>
          <w:p w14:paraId="2BC33828" w14:textId="77777777" w:rsidR="008D1A63" w:rsidRPr="00D44987" w:rsidRDefault="008D1A63" w:rsidP="002A4220">
            <w:pPr>
              <w:jc w:val="center"/>
              <w:rPr>
                <w:rFonts w:eastAsia="黑体"/>
                <w:b/>
                <w:bCs/>
              </w:rPr>
            </w:pPr>
            <w:r w:rsidRPr="00D44987">
              <w:rPr>
                <w:rFonts w:eastAsia="黑体" w:hint="eastAsia"/>
                <w:b/>
                <w:bCs/>
              </w:rPr>
              <w:t xml:space="preserve"> </w:t>
            </w:r>
            <w:r w:rsidRPr="00D44987">
              <w:rPr>
                <w:rFonts w:eastAsia="黑体"/>
                <w:b/>
                <w:bCs/>
              </w:rPr>
              <w:t xml:space="preserve">                                    </w:t>
            </w:r>
            <w:r w:rsidRPr="00D44987">
              <w:rPr>
                <w:rFonts w:eastAsia="黑体" w:hint="eastAsia"/>
                <w:b/>
                <w:bCs/>
              </w:rPr>
              <w:t>Signature</w:t>
            </w:r>
            <w:r w:rsidRPr="00D44987">
              <w:rPr>
                <w:rFonts w:eastAsia="黑体" w:hint="eastAsia"/>
                <w:b/>
                <w:bCs/>
              </w:rPr>
              <w:t>：</w:t>
            </w:r>
            <w:r w:rsidRPr="00D44987">
              <w:rPr>
                <w:rFonts w:eastAsia="黑体" w:hint="eastAsia"/>
                <w:b/>
                <w:bCs/>
              </w:rPr>
              <w:t xml:space="preserve">          </w:t>
            </w:r>
          </w:p>
          <w:p w14:paraId="7B4E1FE2" w14:textId="77777777" w:rsidR="008D1A63" w:rsidRPr="00D44987" w:rsidRDefault="008D1A63" w:rsidP="002A4220">
            <w:pPr>
              <w:jc w:val="center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 xml:space="preserve">                </w:t>
            </w:r>
            <w:r>
              <w:rPr>
                <w:rFonts w:eastAsia="黑体" w:hint="eastAsia"/>
                <w:b/>
                <w:bCs/>
              </w:rPr>
              <w:t xml:space="preserve">                 </w:t>
            </w:r>
            <w:r w:rsidRPr="00D44987">
              <w:rPr>
                <w:rFonts w:eastAsia="黑体" w:hint="eastAsia"/>
                <w:b/>
                <w:bCs/>
              </w:rPr>
              <w:t>Date:</w:t>
            </w:r>
          </w:p>
        </w:tc>
      </w:tr>
    </w:tbl>
    <w:p w14:paraId="0D4CAAAC" w14:textId="77777777" w:rsidR="008D1A63" w:rsidRPr="000676E3" w:rsidRDefault="008D1A63" w:rsidP="008D1A63">
      <w:pPr>
        <w:rPr>
          <w:sz w:val="18"/>
          <w:szCs w:val="18"/>
        </w:rPr>
      </w:pPr>
      <w:r w:rsidRPr="000676E3">
        <w:rPr>
          <w:rFonts w:hint="eastAsia"/>
          <w:sz w:val="18"/>
          <w:szCs w:val="18"/>
        </w:rPr>
        <w:t>Grade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>Excellent</w:t>
      </w:r>
      <w:r w:rsidRPr="000676E3">
        <w:rPr>
          <w:rFonts w:hint="eastAsia"/>
          <w:sz w:val="18"/>
          <w:szCs w:val="18"/>
        </w:rPr>
        <w:t>：≥</w:t>
      </w:r>
      <w:r w:rsidRPr="000676E3">
        <w:rPr>
          <w:rFonts w:hint="eastAsia"/>
          <w:sz w:val="18"/>
          <w:szCs w:val="18"/>
        </w:rPr>
        <w:t>90;  Good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>80-89;   Up-to-standard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 xml:space="preserve">70-79; </w:t>
      </w:r>
      <w:r>
        <w:rPr>
          <w:rFonts w:hint="eastAsia"/>
          <w:sz w:val="18"/>
          <w:szCs w:val="18"/>
        </w:rPr>
        <w:t xml:space="preserve">Minimal standard; 60-69; </w:t>
      </w:r>
      <w:r w:rsidRPr="000676E3">
        <w:rPr>
          <w:rFonts w:hint="eastAsia"/>
          <w:sz w:val="18"/>
          <w:szCs w:val="18"/>
        </w:rPr>
        <w:t>Below standard</w:t>
      </w:r>
      <w:r w:rsidRPr="000676E3">
        <w:rPr>
          <w:rFonts w:hint="eastAsia"/>
          <w:sz w:val="18"/>
          <w:szCs w:val="18"/>
        </w:rPr>
        <w:t>：∠</w:t>
      </w:r>
      <w:r>
        <w:rPr>
          <w:rFonts w:hint="eastAsia"/>
          <w:sz w:val="18"/>
          <w:szCs w:val="18"/>
        </w:rPr>
        <w:t>6</w:t>
      </w:r>
      <w:r w:rsidRPr="000676E3">
        <w:rPr>
          <w:rFonts w:hint="eastAsia"/>
          <w:sz w:val="18"/>
          <w:szCs w:val="18"/>
        </w:rPr>
        <w:t>0</w:t>
      </w:r>
    </w:p>
    <w:p w14:paraId="513C38AA" w14:textId="77777777" w:rsidR="008D1A63" w:rsidRPr="00735A04" w:rsidRDefault="008D1A63" w:rsidP="008D1A63">
      <w:pPr>
        <w:spacing w:line="360" w:lineRule="auto"/>
        <w:rPr>
          <w:rFonts w:ascii="宋体" w:hAnsi="宋体"/>
          <w:sz w:val="24"/>
        </w:rPr>
      </w:pPr>
    </w:p>
    <w:p w14:paraId="0E56A3BC" w14:textId="77777777" w:rsidR="008D1A63" w:rsidRPr="00DD7977" w:rsidRDefault="008D1A63" w:rsidP="008D1A63">
      <w:pPr>
        <w:widowControl/>
        <w:jc w:val="left"/>
      </w:pPr>
    </w:p>
    <w:p w14:paraId="1547B92C" w14:textId="7C906209" w:rsidR="007A5A0A" w:rsidRPr="008D1A63" w:rsidRDefault="007A5A0A" w:rsidP="008D1A63"/>
    <w:sectPr w:rsidR="007A5A0A" w:rsidRPr="008D1A63" w:rsidSect="00DD797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B"/>
    <w:rsid w:val="000913D0"/>
    <w:rsid w:val="001A095B"/>
    <w:rsid w:val="002B7866"/>
    <w:rsid w:val="004B314F"/>
    <w:rsid w:val="00576565"/>
    <w:rsid w:val="006A550C"/>
    <w:rsid w:val="007A5A0A"/>
    <w:rsid w:val="008D1A63"/>
    <w:rsid w:val="00A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303E"/>
  <w15:chartTrackingRefBased/>
  <w15:docId w15:val="{B62520CF-E45F-4CDA-832B-0036134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95B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09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A63"/>
    <w:pPr>
      <w:ind w:firstLineChars="200" w:firstLine="42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3</cp:revision>
  <dcterms:created xsi:type="dcterms:W3CDTF">2025-04-01T06:25:00Z</dcterms:created>
  <dcterms:modified xsi:type="dcterms:W3CDTF">2025-04-01T06:26:00Z</dcterms:modified>
</cp:coreProperties>
</file>